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pos="4680"/>
        </w:tabs>
        <w:spacing w:line="28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CERTIFICATE OF AMENDMENT AND RESTATEMENT</w:t>
      </w:r>
    </w:p>
    <w:p w:rsidR="00000000" w:rsidDel="00000000" w:rsidP="00000000" w:rsidRDefault="00000000" w:rsidRPr="00000000" w14:paraId="00000002">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THE</w:t>
      </w:r>
    </w:p>
    <w:p w:rsidR="00000000" w:rsidDel="00000000" w:rsidP="00000000" w:rsidRDefault="00000000" w:rsidRPr="00000000" w14:paraId="00000003">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ARTICLES OF INCORPORATION</w:t>
      </w:r>
    </w:p>
    <w:p w:rsidR="00000000" w:rsidDel="00000000" w:rsidP="00000000" w:rsidRDefault="00000000" w:rsidRPr="00000000" w14:paraId="00000004">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Kate Skinner and Jeffrey James Jackson certify that:</w:t>
      </w:r>
    </w:p>
    <w:p w:rsidR="00000000" w:rsidDel="00000000" w:rsidP="00000000" w:rsidRDefault="00000000" w:rsidRPr="00000000" w14:paraId="00000007">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1"/>
        <w:tabs>
          <w:tab w:val="left" w:pos="0"/>
        </w:tabs>
        <w:spacing w:line="280"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They are the President and the Secretary, respectively, of San Francisco Aquarium Society, a California nonprofit public benefit corporation.</w:t>
      </w:r>
    </w:p>
    <w:p w:rsidR="00000000" w:rsidDel="00000000" w:rsidP="00000000" w:rsidRDefault="00000000" w:rsidRPr="00000000" w14:paraId="00000009">
      <w:pPr>
        <w:widowControl w:val="1"/>
        <w:tabs>
          <w:tab w:val="left" w:pos="0"/>
        </w:tabs>
        <w:spacing w:line="280" w:lineRule="auto"/>
        <w:ind w:left="72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1"/>
        <w:tabs>
          <w:tab w:val="left" w:pos="0"/>
        </w:tabs>
        <w:spacing w:line="280"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The Articles of Incorporation of this corporation are hereby amended and restated as set forth in the attached Articles of Incorporation, which are incorporated by this reference as if set forth in full in this certificate.</w:t>
      </w:r>
    </w:p>
    <w:p w:rsidR="00000000" w:rsidDel="00000000" w:rsidP="00000000" w:rsidRDefault="00000000" w:rsidRPr="00000000" w14:paraId="0000000B">
      <w:pPr>
        <w:widowControl w:val="1"/>
        <w:tabs>
          <w:tab w:val="left" w:pos="0"/>
        </w:tabs>
        <w:spacing w:line="280" w:lineRule="auto"/>
        <w:ind w:left="72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tabs>
          <w:tab w:val="left" w:pos="0"/>
        </w:tabs>
        <w:spacing w:line="280"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The foregoing amendment and restatement has been duly approved by this corporation</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s Board of Directors.</w:t>
      </w:r>
    </w:p>
    <w:p w:rsidR="00000000" w:rsidDel="00000000" w:rsidP="00000000" w:rsidRDefault="00000000" w:rsidRPr="00000000" w14:paraId="0000000D">
      <w:pPr>
        <w:widowControl w:val="1"/>
        <w:tabs>
          <w:tab w:val="left" w:pos="0"/>
        </w:tabs>
        <w:spacing w:line="280" w:lineRule="auto"/>
        <w:ind w:left="72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1"/>
        <w:tabs>
          <w:tab w:val="left" w:pos="0"/>
        </w:tabs>
        <w:spacing w:line="280"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The foregoing amendment and restatement has been duly approved by the required vote of this corporation’s members.</w:t>
      </w:r>
    </w:p>
    <w:p w:rsidR="00000000" w:rsidDel="00000000" w:rsidP="00000000" w:rsidRDefault="00000000" w:rsidRPr="00000000" w14:paraId="0000000F">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We further declare under penalty of perjury under the laws of the State of California that the matters set forth in this certificate are true of our own knowledge.</w:t>
      </w:r>
    </w:p>
    <w:p w:rsidR="00000000" w:rsidDel="00000000" w:rsidP="00000000" w:rsidRDefault="00000000" w:rsidRPr="00000000" w14:paraId="00000011">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1"/>
        <w:tabs>
          <w:tab w:val="left" w:pos="1440"/>
          <w:tab w:val="left" w:pos="2160"/>
          <w:tab w:val="left" w:pos="2880"/>
          <w:tab w:val="left" w:pos="4320"/>
          <w:tab w:val="left" w:pos="5040"/>
          <w:tab w:val="right" w:pos="936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DATED: </w:t>
      </w:r>
      <w:r w:rsidDel="00000000" w:rsidR="00000000" w:rsidRPr="00000000">
        <w:rPr>
          <w:rFonts w:ascii="Times New Roman" w:cs="Times New Roman" w:eastAsia="Times New Roman" w:hAnsi="Times New Roman"/>
          <w:sz w:val="24"/>
          <w:szCs w:val="24"/>
          <w:u w:val="single"/>
          <w:rtl w:val="0"/>
        </w:rPr>
        <w:tab/>
        <w:tab/>
        <w:tab/>
      </w:r>
      <w:r w:rsidDel="00000000" w:rsidR="00000000" w:rsidRPr="00000000">
        <w:rPr>
          <w:rFonts w:ascii="Times New Roman" w:cs="Times New Roman" w:eastAsia="Times New Roman" w:hAnsi="Times New Roman"/>
          <w:sz w:val="24"/>
          <w:szCs w:val="24"/>
          <w:rtl w:val="0"/>
        </w:rPr>
        <w:t xml:space="preserve">, 2020</w:t>
        <w:tab/>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5">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Kate Skinner, President</w:t>
      </w:r>
    </w:p>
    <w:p w:rsidR="00000000" w:rsidDel="00000000" w:rsidP="00000000" w:rsidRDefault="00000000" w:rsidRPr="00000000" w14:paraId="00000016">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1"/>
        <w:tabs>
          <w:tab w:val="left" w:pos="1440"/>
          <w:tab w:val="left" w:pos="2160"/>
          <w:tab w:val="left" w:pos="2880"/>
          <w:tab w:val="left" w:pos="4320"/>
          <w:tab w:val="left" w:pos="5040"/>
          <w:tab w:val="right" w:pos="936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DATED: </w:t>
      </w:r>
      <w:r w:rsidDel="00000000" w:rsidR="00000000" w:rsidRPr="00000000">
        <w:rPr>
          <w:rFonts w:ascii="Times New Roman" w:cs="Times New Roman" w:eastAsia="Times New Roman" w:hAnsi="Times New Roman"/>
          <w:sz w:val="24"/>
          <w:szCs w:val="24"/>
          <w:u w:val="single"/>
          <w:rtl w:val="0"/>
        </w:rPr>
        <w:tab/>
        <w:tab/>
        <w:tab/>
      </w:r>
      <w:r w:rsidDel="00000000" w:rsidR="00000000" w:rsidRPr="00000000">
        <w:rPr>
          <w:rFonts w:ascii="Times New Roman" w:cs="Times New Roman" w:eastAsia="Times New Roman" w:hAnsi="Times New Roman"/>
          <w:sz w:val="24"/>
          <w:szCs w:val="24"/>
          <w:rtl w:val="0"/>
        </w:rPr>
        <w:t xml:space="preserve">, 2020</w:t>
        <w:tab/>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9">
      <w:pPr>
        <w:widowControl w:val="1"/>
        <w:tabs>
          <w:tab w:val="left" w:pos="0"/>
        </w:tabs>
        <w:spacing w:line="280" w:lineRule="auto"/>
        <w:rPr>
          <w:rFonts w:ascii="Times New Roman" w:cs="Times New Roman" w:eastAsia="Times New Roman" w:hAnsi="Times New Roman"/>
          <w:sz w:val="24"/>
          <w:szCs w:val="24"/>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260" w:top="1440" w:left="1440" w:right="1440" w:header="1440" w:footer="1008"/>
          <w:pgNumType w:start="1"/>
          <w:titlePg w:val="1"/>
        </w:sectPr>
      </w:pPr>
      <w:r w:rsidDel="00000000" w:rsidR="00000000" w:rsidRPr="00000000">
        <w:rPr>
          <w:rFonts w:ascii="Times New Roman" w:cs="Times New Roman" w:eastAsia="Times New Roman" w:hAnsi="Times New Roman"/>
          <w:sz w:val="24"/>
          <w:szCs w:val="24"/>
          <w:rtl w:val="0"/>
        </w:rPr>
        <w:tab/>
        <w:tab/>
        <w:tab/>
        <w:tab/>
        <w:tab/>
        <w:tab/>
        <w:tab/>
        <w:t xml:space="preserve">Jeffrey James Jackson, Secretary</w:t>
      </w:r>
    </w:p>
    <w:p w:rsidR="00000000" w:rsidDel="00000000" w:rsidP="00000000" w:rsidRDefault="00000000" w:rsidRPr="00000000" w14:paraId="0000001A">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ARTICLES OF INCORPORATION</w:t>
      </w:r>
    </w:p>
    <w:p w:rsidR="00000000" w:rsidDel="00000000" w:rsidP="00000000" w:rsidRDefault="00000000" w:rsidRPr="00000000" w14:paraId="0000001C">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w:t>
      </w:r>
    </w:p>
    <w:p w:rsidR="00000000" w:rsidDel="00000000" w:rsidP="00000000" w:rsidRDefault="00000000" w:rsidRPr="00000000" w14:paraId="0000001D">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SAN FRANCISCO AQUARIUM SOCIETY, INC.</w:t>
      </w:r>
    </w:p>
    <w:p w:rsidR="00000000" w:rsidDel="00000000" w:rsidP="00000000" w:rsidRDefault="00000000" w:rsidRPr="00000000" w14:paraId="0000001E">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ARTICLE I</w:t>
      </w:r>
    </w:p>
    <w:p w:rsidR="00000000" w:rsidDel="00000000" w:rsidP="00000000" w:rsidRDefault="00000000" w:rsidRPr="00000000" w14:paraId="00000022">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name of this corporation is San Francisco Aquarium Society, Inc.</w:t>
      </w:r>
    </w:p>
    <w:p w:rsidR="00000000" w:rsidDel="00000000" w:rsidP="00000000" w:rsidRDefault="00000000" w:rsidRPr="00000000" w14:paraId="00000024">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ARTICLE II</w:t>
      </w:r>
    </w:p>
    <w:p w:rsidR="00000000" w:rsidDel="00000000" w:rsidP="00000000" w:rsidRDefault="00000000" w:rsidRPr="00000000" w14:paraId="00000027">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  This corporation is a nonprofit public benefit corporation and is not organized for the private gain of any person.  It is organized under the Nonprofit Public Benefit Corporation Law for charitable purposes.</w:t>
      </w:r>
    </w:p>
    <w:p w:rsidR="00000000" w:rsidDel="00000000" w:rsidP="00000000" w:rsidRDefault="00000000" w:rsidRPr="00000000" w14:paraId="00000029">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  The specific and primary purpose of this corporation is to engage in charitable and educational activities within the meaning of Section 501(c)(3) of the Internal Revenue Code of 1986, as amended, or the corresponding provisions of any future United States internal revenue law (the “Code”).</w:t>
      </w:r>
    </w:p>
    <w:p w:rsidR="00000000" w:rsidDel="00000000" w:rsidP="00000000" w:rsidRDefault="00000000" w:rsidRPr="00000000" w14:paraId="0000002B">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ARTICLE III</w:t>
      </w:r>
    </w:p>
    <w:p w:rsidR="00000000" w:rsidDel="00000000" w:rsidP="00000000" w:rsidRDefault="00000000" w:rsidRPr="00000000" w14:paraId="0000002E">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  This corporation is organized and operated exclusively for exempt purposes within the meaning of Section 501(c)(3) of the Code.  Notwithstanding any other provision of these Articles, this corporation shall not carry on any activities not permitted to be carried on (1) by a corporation exempt from federal income tax under Section 501(c)(3) of the Code, or (2) by a corporation, contributions to which are deductible under Sections 170(c)(2), 2055(a)(2), 2106(a)(2)(A)(ii), 2522(a)(2), or 2522(b)(2) of the Code.  </w:t>
      </w:r>
    </w:p>
    <w:p w:rsidR="00000000" w:rsidDel="00000000" w:rsidP="00000000" w:rsidRDefault="00000000" w:rsidRPr="00000000" w14:paraId="00000030">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  Except as permitted by law, no substantial part of the activities of this corporation shall consist of the carrying on of propaganda or otherwise attempting to influence legislation, nor shall this corporation participate in, or intervene in (including the publishing or distribution of statements), any political campaign on behalf of or in opposition to any candidate for public office.</w:t>
      </w:r>
    </w:p>
    <w:p w:rsidR="00000000" w:rsidDel="00000000" w:rsidP="00000000" w:rsidRDefault="00000000" w:rsidRPr="00000000" w14:paraId="00000032">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 xml:space="preserve">ARTICLE IV</w:t>
      </w:r>
    </w:p>
    <w:p w:rsidR="00000000" w:rsidDel="00000000" w:rsidP="00000000" w:rsidRDefault="00000000" w:rsidRPr="00000000" w14:paraId="00000033">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property of this corporation is irrevocably dedicated to charitable purposes, and no part of the net income or assets of this corporation shall ever inure to the benefit of any director, officer, or member (if any) of this corporation, or to the benefit of any private person.  Upon the winding up and dissolution of this corporation and after paying or adequately providing for the debts and obligations of this corporation, the remaining assets shall be distributed to a nonprofit fund, foundation, or corporation which is organized and operated exclusively for charitable purposes and that has established its tax-exempt status under Section 501(c)(3) of the Code.</w:t>
      </w:r>
    </w:p>
    <w:p w:rsidR="00000000" w:rsidDel="00000000" w:rsidP="00000000" w:rsidRDefault="00000000" w:rsidRPr="00000000" w14:paraId="00000035">
      <w:pPr>
        <w:widowControl w:val="1"/>
        <w:tabs>
          <w:tab w:val="left" w:pos="0"/>
        </w:tabs>
        <w:spacing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1"/>
        <w:tabs>
          <w:tab w:val="center" w:pos="4680"/>
        </w:tabs>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ARTICLE V</w:t>
      </w:r>
    </w:p>
    <w:p w:rsidR="00000000" w:rsidDel="00000000" w:rsidP="00000000" w:rsidRDefault="00000000" w:rsidRPr="00000000" w14:paraId="00000037">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1"/>
        <w:tabs>
          <w:tab w:val="left" w:pos="0"/>
        </w:tabs>
        <w:spacing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This corporation elects to be governed by all of the provisions of the Nonprofit Corporation Law of 1980 not otherwise applicable to it under Part 5 thereof.</w:t>
      </w:r>
    </w:p>
    <w:p w:rsidR="00000000" w:rsidDel="00000000" w:rsidP="00000000" w:rsidRDefault="00000000" w:rsidRPr="00000000" w14:paraId="00000039">
      <w:pPr>
        <w:rPr/>
      </w:pPr>
      <w:r w:rsidDel="00000000" w:rsidR="00000000" w:rsidRPr="00000000">
        <w:rPr>
          <w:rtl w:val="0"/>
        </w:rPr>
      </w:r>
    </w:p>
    <w:sectPr>
      <w:footerReference r:id="rId12" w:type="default"/>
      <w:footerReference r:id="rId13" w:type="first"/>
      <w:type w:val="nextPage"/>
      <w:pgSz w:h="15840" w:w="12240" w:orient="portrait"/>
      <w:pgMar w:bottom="1008" w:top="1440" w:left="1440" w:right="1440" w:header="1440" w:footer="10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{01311874.DOCX; 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{01311874.DOCX; 1}</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2160"/>
      <w:gridCol w:w="3600"/>
      <w:tblGridChange w:id="0">
        <w:tblGrid>
          <w:gridCol w:w="3600"/>
          <w:gridCol w:w="2160"/>
          <w:gridCol w:w="3600"/>
        </w:tblGrid>
      </w:tblGridChange>
    </w:tblGrid>
    <w:tr>
      <w:tc>
        <w:tcPr>
          <w:vAlign w:val="bottom"/>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{01311874.DOCX; 1}</w:t>
          </w:r>
        </w:p>
      </w:tc>
      <w:tc>
        <w:tcP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2160"/>
      <w:gridCol w:w="3600"/>
      <w:tblGridChange w:id="0">
        <w:tblGrid>
          <w:gridCol w:w="3600"/>
          <w:gridCol w:w="2160"/>
          <w:gridCol w:w="3600"/>
        </w:tblGrid>
      </w:tblGridChange>
    </w:tblGrid>
    <w:tr>
      <w:tc>
        <w:tcPr>
          <w:vAlign w:val="bottom"/>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{01311874.DOCX; 1}</w:t>
          </w:r>
        </w:p>
      </w:tc>
      <w:tc>
        <w:tcPr>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240" w:before="480" w:lineRule="auto"/>
      <w:ind w:left="0" w:firstLine="0"/>
      <w:jc w:val="center"/>
    </w:pPr>
    <w:rPr>
      <w:rFonts w:ascii="Times New Roman" w:cs="Times New Roman" w:eastAsia="Times New Roman" w:hAnsi="Times New Roman"/>
      <w:b w:val="1"/>
      <w:smallCaps w:val="1"/>
      <w:sz w:val="24"/>
      <w:szCs w:val="24"/>
    </w:rPr>
  </w:style>
  <w:style w:type="paragraph" w:styleId="Heading2">
    <w:name w:val="heading 2"/>
    <w:basedOn w:val="Normal"/>
    <w:next w:val="Normal"/>
    <w:pPr>
      <w:widowControl w:val="1"/>
      <w:spacing w:after="240" w:lineRule="auto"/>
      <w:ind w:left="0" w:firstLine="1440"/>
      <w:jc w:val="both"/>
    </w:pPr>
    <w:rPr>
      <w:rFonts w:ascii="Times New Roman" w:cs="Times New Roman" w:eastAsia="Times New Roman" w:hAnsi="Times New Roman"/>
      <w:sz w:val="24"/>
      <w:szCs w:val="24"/>
    </w:rPr>
  </w:style>
  <w:style w:type="paragraph" w:styleId="Heading3">
    <w:name w:val="heading 3"/>
    <w:basedOn w:val="Normal"/>
    <w:next w:val="Normal"/>
    <w:pPr>
      <w:widowControl w:val="1"/>
      <w:spacing w:after="240" w:lineRule="auto"/>
      <w:ind w:left="0" w:firstLine="1440"/>
      <w:jc w:val="both"/>
    </w:pPr>
    <w:rPr>
      <w:rFonts w:ascii="Times New Roman" w:cs="Times New Roman" w:eastAsia="Times New Roman" w:hAnsi="Times New Roman"/>
      <w:sz w:val="24"/>
      <w:szCs w:val="24"/>
    </w:rPr>
  </w:style>
  <w:style w:type="paragraph" w:styleId="Heading4">
    <w:name w:val="heading 4"/>
    <w:basedOn w:val="Normal"/>
    <w:next w:val="Normal"/>
    <w:pPr>
      <w:widowControl w:val="1"/>
      <w:spacing w:after="240" w:lineRule="auto"/>
      <w:ind w:left="0" w:firstLine="1440"/>
      <w:jc w:val="both"/>
    </w:pPr>
    <w:rPr>
      <w:rFonts w:ascii="Times New Roman" w:cs="Times New Roman" w:eastAsia="Times New Roman" w:hAnsi="Times New Roman"/>
      <w:sz w:val="24"/>
      <w:szCs w:val="24"/>
    </w:rPr>
  </w:style>
  <w:style w:type="paragraph" w:styleId="Heading5">
    <w:name w:val="heading 5"/>
    <w:basedOn w:val="Normal"/>
    <w:next w:val="Normal"/>
    <w:pPr>
      <w:widowControl w:val="1"/>
      <w:spacing w:after="240" w:lineRule="auto"/>
      <w:ind w:left="0" w:firstLine="1440"/>
      <w:jc w:val="both"/>
    </w:pPr>
    <w:rPr>
      <w:rFonts w:ascii="Times New Roman" w:cs="Times New Roman" w:eastAsia="Times New Roman" w:hAnsi="Times New Roman"/>
      <w:sz w:val="24"/>
      <w:szCs w:val="24"/>
    </w:rPr>
  </w:style>
  <w:style w:type="paragraph" w:styleId="Heading6">
    <w:name w:val="heading 6"/>
    <w:basedOn w:val="Normal"/>
    <w:next w:val="Normal"/>
    <w:pPr>
      <w:widowControl w:val="1"/>
      <w:spacing w:after="240" w:before="240" w:lineRule="auto"/>
      <w:ind w:left="2304" w:hanging="432.00000000000017"/>
    </w:pPr>
    <w:rPr>
      <w:rFonts w:ascii="Times New Roman" w:cs="Times New Roman" w:eastAsia="Times New Roman" w:hAnsi="Times New Roman"/>
      <w:sz w:val="22"/>
      <w:szCs w:val="22"/>
    </w:rPr>
  </w:style>
  <w:style w:type="paragraph" w:styleId="Title">
    <w:name w:val="Title"/>
    <w:basedOn w:val="Normal"/>
    <w:next w:val="Normal"/>
    <w:pPr>
      <w:widowControl w:val="1"/>
      <w:spacing w:after="360" w:lineRule="auto"/>
      <w:jc w:val="center"/>
    </w:pPr>
    <w:rPr>
      <w:rFonts w:ascii="Times New Roman" w:cs="Times New Roman" w:eastAsia="Times New Roman" w:hAnsi="Times New Roman"/>
      <w:b w:val="1"/>
      <w:sz w:val="30"/>
      <w:szCs w:val="3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4.xml"/><Relationship Id="rId12"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